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4313C0">
        <w:rPr>
          <w:rFonts w:ascii="Calibri" w:hAnsi="Calibri" w:cs="Calibri"/>
          <w:sz w:val="22"/>
          <w:szCs w:val="22"/>
        </w:rPr>
        <w:t xml:space="preserve"> H. Sienkiewicza 4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</w:t>
      </w:r>
      <w:r>
        <w:rPr>
          <w:rFonts w:ascii="Calibri" w:hAnsi="Calibri" w:cs="Calibri"/>
          <w:sz w:val="22"/>
          <w:szCs w:val="22"/>
        </w:rPr>
        <w:t>mieszkalny, oznaczony numerem 40</w:t>
      </w:r>
      <w:r>
        <w:rPr>
          <w:rFonts w:ascii="Calibri" w:hAnsi="Calibri" w:cs="Calibri"/>
          <w:sz w:val="22"/>
          <w:szCs w:val="22"/>
        </w:rPr>
        <w:t xml:space="preserve"> mieszczący się w budynku przy ul. Henryka Sienkiewicza 4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45 lokalach mieszkalnych.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</w:t>
      </w:r>
      <w:r>
        <w:rPr>
          <w:rFonts w:ascii="Calibri" w:hAnsi="Calibri" w:cs="Calibri"/>
          <w:color w:val="000000" w:themeColor="text1"/>
          <w:sz w:val="22"/>
          <w:szCs w:val="22"/>
        </w:rPr>
        <w:t>pokoju z aneksem kuchennym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</w:t>
      </w:r>
      <w:r>
        <w:rPr>
          <w:rFonts w:ascii="Calibri" w:hAnsi="Calibri" w:cs="Calibri"/>
          <w:color w:val="000000" w:themeColor="text1"/>
          <w:sz w:val="22"/>
          <w:szCs w:val="22"/>
        </w:rPr>
        <w:t>zchnia użytkowa lokalu wynosi 45,85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 „junkers”, domofonową.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</w:t>
      </w:r>
      <w:r>
        <w:rPr>
          <w:rFonts w:ascii="Calibri" w:hAnsi="Calibri" w:cs="Calibri"/>
          <w:color w:val="000000" w:themeColor="text1"/>
          <w:sz w:val="22"/>
          <w:szCs w:val="22"/>
        </w:rPr>
        <w:t>zypisana jest piwnica o pow.: 3,9</w:t>
      </w:r>
      <w:r>
        <w:rPr>
          <w:rFonts w:ascii="Calibri" w:hAnsi="Calibri" w:cs="Calibri"/>
          <w:color w:val="000000" w:themeColor="text1"/>
          <w:sz w:val="22"/>
          <w:szCs w:val="22"/>
        </w:rPr>
        <w:t>4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383/5, 384/3.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0,0486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BY1B/00051706/8.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54 365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366,74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2 065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56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43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0,00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/1938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22.10</w:t>
      </w:r>
      <w:r>
        <w:rPr>
          <w:rFonts w:ascii="Calibri" w:hAnsi="Calibri" w:cs="Calibri"/>
          <w:b/>
          <w:sz w:val="22"/>
          <w:szCs w:val="22"/>
        </w:rPr>
        <w:t>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12.11</w:t>
      </w:r>
      <w:r>
        <w:rPr>
          <w:rFonts w:ascii="Calibri" w:hAnsi="Calibri" w:cs="Calibri"/>
          <w:b/>
          <w:sz w:val="22"/>
          <w:szCs w:val="22"/>
        </w:rPr>
        <w:t>.2020r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grudni</w:t>
      </w:r>
      <w:r>
        <w:rPr>
          <w:rFonts w:ascii="Calibri" w:hAnsi="Calibri" w:cs="Calibri"/>
          <w:b/>
          <w:sz w:val="22"/>
          <w:szCs w:val="22"/>
        </w:rPr>
        <w:t>a 2020r.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22.10</w:t>
      </w:r>
      <w:r>
        <w:rPr>
          <w:rFonts w:ascii="Calibri" w:hAnsi="Calibri" w:cs="Calibri"/>
          <w:sz w:val="20"/>
          <w:szCs w:val="20"/>
        </w:rPr>
        <w:t>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995578" w:rsidRDefault="0099557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4313C0" w:rsidRPr="006808DA" w:rsidRDefault="004313C0" w:rsidP="004313C0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4313C0" w:rsidRDefault="004313C0" w:rsidP="004313C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4313C0" w:rsidRPr="00D24144" w:rsidRDefault="004313C0" w:rsidP="004313C0">
      <w:pPr>
        <w:pStyle w:val="Standard"/>
        <w:rPr>
          <w:rFonts w:ascii="Calibri" w:hAnsi="Calibri" w:cs="Calibri"/>
        </w:rPr>
      </w:pPr>
    </w:p>
    <w:p w:rsidR="004313C0" w:rsidRPr="00D24144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H. Sienkiewicza 4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4313C0" w:rsidRPr="00D24144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40 mieszczący się w budynku przy ul. Henryka Sienkiewicza 4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45 lokalach mieszkalnych.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III piętrze budynku.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2 pokoi, pokoju z aneksem kuchennym, łazienki z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45,85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kanalizacyjną, gazową, c.o. miejskie, piec gazowy „junkers”, domofonową.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3,94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383/5, 384/3.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działek wynosi: 0,0486 ha.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BY1B/00051706/8.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154 365,00 zł (3 366,74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2 065,00 zł.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156 430,00 zł.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46/1938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22.10.2020r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12.11.2020r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3 grudnia 2020r.</w:t>
      </w:r>
    </w:p>
    <w:p w:rsidR="004313C0" w:rsidRDefault="004313C0" w:rsidP="004313C0">
      <w:pPr>
        <w:pStyle w:val="Standard"/>
        <w:numPr>
          <w:ilvl w:val="0"/>
          <w:numId w:val="35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22.10.2020r.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650D2">
        <w:rPr>
          <w:rFonts w:ascii="Calibri" w:hAnsi="Calibri" w:cs="Calibri"/>
        </w:rPr>
        <w:t>22</w:t>
      </w:r>
      <w:r w:rsidR="006979D4">
        <w:rPr>
          <w:rFonts w:ascii="Calibri" w:hAnsi="Calibri" w:cs="Calibri"/>
        </w:rPr>
        <w:t>.</w:t>
      </w:r>
      <w:r w:rsidR="00F650D2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650D2">
        <w:rPr>
          <w:rFonts w:ascii="Calibri" w:hAnsi="Calibri" w:cs="Calibri"/>
          <w:b/>
        </w:rPr>
        <w:t>22.10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650D2">
        <w:rPr>
          <w:rFonts w:ascii="Calibri" w:hAnsi="Calibri" w:cs="Calibri"/>
          <w:b/>
        </w:rPr>
        <w:t>12.11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4313C0">
        <w:rPr>
          <w:rFonts w:ascii="Calibri" w:hAnsi="Calibri" w:cs="Calibri"/>
        </w:rPr>
        <w:t>40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4313C0">
        <w:rPr>
          <w:rFonts w:ascii="Calibri" w:hAnsi="Calibri" w:cs="Calibri"/>
        </w:rPr>
        <w:t>H. Sienkiewicza 4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9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6"/>
  </w:num>
  <w:num w:numId="13">
    <w:abstractNumId w:val="33"/>
  </w:num>
  <w:num w:numId="14">
    <w:abstractNumId w:val="21"/>
  </w:num>
  <w:num w:numId="15">
    <w:abstractNumId w:val="27"/>
  </w:num>
  <w:num w:numId="16">
    <w:abstractNumId w:val="20"/>
  </w:num>
  <w:num w:numId="17">
    <w:abstractNumId w:val="25"/>
  </w:num>
  <w:num w:numId="18">
    <w:abstractNumId w:val="31"/>
  </w:num>
  <w:num w:numId="19">
    <w:abstractNumId w:val="16"/>
  </w:num>
  <w:num w:numId="20">
    <w:abstractNumId w:val="29"/>
  </w:num>
  <w:num w:numId="21">
    <w:abstractNumId w:val="22"/>
  </w:num>
  <w:num w:numId="22">
    <w:abstractNumId w:val="19"/>
  </w:num>
  <w:num w:numId="23">
    <w:abstractNumId w:val="14"/>
  </w:num>
  <w:num w:numId="24">
    <w:abstractNumId w:val="28"/>
  </w:num>
  <w:num w:numId="25">
    <w:abstractNumId w:val="13"/>
  </w:num>
  <w:num w:numId="26">
    <w:abstractNumId w:val="24"/>
  </w:num>
  <w:num w:numId="27">
    <w:abstractNumId w:val="30"/>
  </w:num>
  <w:num w:numId="28">
    <w:abstractNumId w:val="32"/>
  </w:num>
  <w:num w:numId="29">
    <w:abstractNumId w:val="11"/>
  </w:num>
  <w:num w:numId="30">
    <w:abstractNumId w:val="17"/>
  </w:num>
  <w:num w:numId="31">
    <w:abstractNumId w:val="10"/>
  </w:num>
  <w:num w:numId="32">
    <w:abstractNumId w:val="2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3161D-B8BC-4E65-9B5F-E5F37262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5042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2020-03-19T13:51:00Z</cp:lastPrinted>
  <dcterms:created xsi:type="dcterms:W3CDTF">2020-10-21T12:50:00Z</dcterms:created>
  <dcterms:modified xsi:type="dcterms:W3CDTF">2020-10-21T12:50:00Z</dcterms:modified>
</cp:coreProperties>
</file>